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B3" w:rsidRDefault="00EF58B3" w:rsidP="00EF58B3">
      <w:pPr>
        <w:pStyle w:val="a4"/>
        <w:spacing w:before="0"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КРАСНОДАРСКИЙ КРАЙ</w:t>
      </w:r>
    </w:p>
    <w:p w:rsidR="00EF58B3" w:rsidRDefault="00EF58B3" w:rsidP="00EF58B3">
      <w:pPr>
        <w:pStyle w:val="a4"/>
        <w:spacing w:before="0"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ТБИЛИССКИЙ РАЙОН</w:t>
      </w:r>
    </w:p>
    <w:p w:rsidR="00EF58B3" w:rsidRDefault="00EF58B3" w:rsidP="00EF58B3">
      <w:pPr>
        <w:pStyle w:val="a4"/>
        <w:spacing w:before="0"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СОВЕТ АЛЕКСЕЕ-ТЕНГИНСКОГО СЕЛЬСКОГО ПОСЕЛЕНИЯ</w:t>
      </w:r>
    </w:p>
    <w:p w:rsidR="00EF58B3" w:rsidRDefault="00EF58B3" w:rsidP="00EF58B3">
      <w:pPr>
        <w:pStyle w:val="a4"/>
        <w:spacing w:before="0"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ТБИЛИССКОГО РАЙОНА</w:t>
      </w:r>
    </w:p>
    <w:p w:rsidR="00EF58B3" w:rsidRDefault="00EF58B3" w:rsidP="00EF58B3">
      <w:pPr>
        <w:tabs>
          <w:tab w:val="left" w:pos="709"/>
          <w:tab w:val="left" w:pos="851"/>
        </w:tabs>
        <w:jc w:val="center"/>
        <w:rPr>
          <w:rFonts w:cs="Arial"/>
        </w:rPr>
      </w:pPr>
    </w:p>
    <w:p w:rsidR="00EF58B3" w:rsidRDefault="00EF58B3" w:rsidP="00EF58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EF58B3" w:rsidRDefault="00EF58B3" w:rsidP="00EF58B3">
      <w:pPr>
        <w:jc w:val="center"/>
        <w:rPr>
          <w:rFonts w:ascii="Arial" w:hAnsi="Arial" w:cs="Arial"/>
        </w:rPr>
      </w:pPr>
    </w:p>
    <w:p w:rsidR="00EF58B3" w:rsidRDefault="002F3B2F" w:rsidP="00EF58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EF58B3">
        <w:rPr>
          <w:rFonts w:ascii="Arial" w:hAnsi="Arial" w:cs="Arial"/>
        </w:rPr>
        <w:t xml:space="preserve"> года                          № </w:t>
      </w:r>
      <w:r>
        <w:rPr>
          <w:rFonts w:ascii="Arial" w:hAnsi="Arial" w:cs="Arial"/>
        </w:rPr>
        <w:t>_________-</w:t>
      </w:r>
      <w:bookmarkStart w:id="0" w:name="_GoBack"/>
      <w:bookmarkEnd w:id="0"/>
      <w:r w:rsidR="00EF58B3">
        <w:rPr>
          <w:rFonts w:ascii="Arial" w:hAnsi="Arial" w:cs="Arial"/>
        </w:rPr>
        <w:t xml:space="preserve">                     ст. Алексее-Тенгинская</w:t>
      </w:r>
    </w:p>
    <w:p w:rsidR="00432B0F" w:rsidRDefault="00432B0F" w:rsidP="00EF58B3">
      <w:pPr>
        <w:rPr>
          <w:b/>
          <w:bCs/>
        </w:rPr>
      </w:pPr>
    </w:p>
    <w:p w:rsidR="00F87218" w:rsidRPr="00EF58B3" w:rsidRDefault="00A47035">
      <w:pPr>
        <w:pStyle w:val="Standard"/>
        <w:jc w:val="center"/>
        <w:rPr>
          <w:rFonts w:ascii="Arial" w:hAnsi="Arial" w:cs="Arial"/>
          <w:b/>
          <w:sz w:val="28"/>
          <w:lang w:val="ru-RU"/>
        </w:rPr>
      </w:pPr>
      <w:r w:rsidRPr="00EF58B3">
        <w:rPr>
          <w:rFonts w:ascii="Arial" w:hAnsi="Arial" w:cs="Arial"/>
          <w:b/>
          <w:sz w:val="28"/>
        </w:rPr>
        <w:t xml:space="preserve">О внесении изменений в решение Совета </w:t>
      </w:r>
      <w:r w:rsidR="00F87218" w:rsidRPr="00EF58B3">
        <w:rPr>
          <w:rFonts w:ascii="Arial" w:hAnsi="Arial" w:cs="Arial"/>
          <w:b/>
          <w:sz w:val="28"/>
          <w:lang w:val="ru-RU"/>
        </w:rPr>
        <w:t>Алексее-Тенгинского</w:t>
      </w:r>
    </w:p>
    <w:p w:rsidR="00707A92" w:rsidRPr="00EF58B3" w:rsidRDefault="00A47035" w:rsidP="00EF58B3">
      <w:pPr>
        <w:pStyle w:val="Standard"/>
        <w:jc w:val="center"/>
        <w:rPr>
          <w:rFonts w:ascii="Arial" w:hAnsi="Arial" w:cs="Arial"/>
          <w:b/>
          <w:sz w:val="28"/>
          <w:lang w:val="ru-RU"/>
        </w:rPr>
      </w:pPr>
      <w:r w:rsidRPr="00EF58B3">
        <w:rPr>
          <w:rFonts w:ascii="Arial" w:hAnsi="Arial" w:cs="Arial"/>
          <w:b/>
          <w:sz w:val="28"/>
          <w:lang w:val="ru-RU"/>
        </w:rPr>
        <w:t xml:space="preserve"> </w:t>
      </w:r>
      <w:r w:rsidR="00F87218" w:rsidRPr="00EF58B3">
        <w:rPr>
          <w:rFonts w:ascii="Arial" w:hAnsi="Arial" w:cs="Arial"/>
          <w:b/>
          <w:sz w:val="28"/>
          <w:lang w:val="ru-RU"/>
        </w:rPr>
        <w:t>с</w:t>
      </w:r>
      <w:r w:rsidRPr="00EF58B3">
        <w:rPr>
          <w:rFonts w:ascii="Arial" w:hAnsi="Arial" w:cs="Arial"/>
          <w:b/>
          <w:sz w:val="28"/>
        </w:rPr>
        <w:t>ельского</w:t>
      </w:r>
      <w:r w:rsidR="00F87218" w:rsidRPr="00EF58B3">
        <w:rPr>
          <w:rFonts w:ascii="Arial" w:hAnsi="Arial" w:cs="Arial"/>
          <w:b/>
          <w:sz w:val="28"/>
          <w:lang w:val="ru-RU"/>
        </w:rPr>
        <w:t xml:space="preserve"> </w:t>
      </w:r>
      <w:r w:rsidRPr="00EF58B3">
        <w:rPr>
          <w:rFonts w:ascii="Arial" w:hAnsi="Arial" w:cs="Arial"/>
          <w:b/>
          <w:sz w:val="28"/>
        </w:rPr>
        <w:t xml:space="preserve">поселения Тбилисского района от </w:t>
      </w:r>
      <w:r w:rsidR="00F87218" w:rsidRPr="00EF58B3">
        <w:rPr>
          <w:rFonts w:ascii="Arial" w:hAnsi="Arial" w:cs="Arial"/>
          <w:b/>
          <w:sz w:val="28"/>
          <w:lang w:val="ru-RU"/>
        </w:rPr>
        <w:t>30</w:t>
      </w:r>
      <w:r w:rsidRPr="00EF58B3">
        <w:rPr>
          <w:rFonts w:ascii="Arial" w:hAnsi="Arial" w:cs="Arial"/>
          <w:b/>
          <w:sz w:val="28"/>
        </w:rPr>
        <w:t xml:space="preserve"> </w:t>
      </w:r>
      <w:r w:rsidR="00F87218" w:rsidRPr="00EF58B3">
        <w:rPr>
          <w:rFonts w:ascii="Arial" w:hAnsi="Arial" w:cs="Arial"/>
          <w:b/>
          <w:sz w:val="28"/>
          <w:lang w:val="ru-RU"/>
        </w:rPr>
        <w:t>октября</w:t>
      </w:r>
      <w:r w:rsidRPr="00EF58B3">
        <w:rPr>
          <w:rFonts w:ascii="Arial" w:hAnsi="Arial" w:cs="Arial"/>
          <w:b/>
          <w:sz w:val="28"/>
        </w:rPr>
        <w:t xml:space="preserve"> 2020 года № </w:t>
      </w:r>
      <w:r w:rsidR="00F87218" w:rsidRPr="00EF58B3">
        <w:rPr>
          <w:rFonts w:ascii="Arial" w:hAnsi="Arial" w:cs="Arial"/>
          <w:b/>
          <w:sz w:val="28"/>
          <w:lang w:val="ru-RU"/>
        </w:rPr>
        <w:t>45</w:t>
      </w:r>
      <w:r w:rsidR="00EF58B3">
        <w:rPr>
          <w:rFonts w:ascii="Arial" w:hAnsi="Arial" w:cs="Arial"/>
          <w:b/>
          <w:sz w:val="28"/>
          <w:lang w:val="ru-RU"/>
        </w:rPr>
        <w:t xml:space="preserve"> </w:t>
      </w:r>
      <w:r w:rsidRPr="00EF58B3">
        <w:rPr>
          <w:rFonts w:ascii="Arial" w:hAnsi="Arial" w:cs="Arial"/>
          <w:b/>
          <w:sz w:val="28"/>
        </w:rPr>
        <w:t xml:space="preserve">«Об утверждении Правил благоустройства </w:t>
      </w:r>
      <w:r w:rsidR="00F87218" w:rsidRPr="00EF58B3">
        <w:rPr>
          <w:rFonts w:ascii="Arial" w:hAnsi="Arial" w:cs="Arial"/>
          <w:b/>
          <w:sz w:val="28"/>
          <w:lang w:val="ru-RU"/>
        </w:rPr>
        <w:t>Алексее-Тенгинского</w:t>
      </w:r>
      <w:r w:rsidRPr="00EF58B3">
        <w:rPr>
          <w:rFonts w:ascii="Arial" w:hAnsi="Arial" w:cs="Arial"/>
          <w:b/>
          <w:sz w:val="28"/>
        </w:rPr>
        <w:t xml:space="preserve"> сельского поселения Тбилисского района»</w:t>
      </w:r>
    </w:p>
    <w:p w:rsidR="00707A92" w:rsidRPr="00EF58B3" w:rsidRDefault="00707A92">
      <w:pPr>
        <w:pStyle w:val="Standard"/>
        <w:rPr>
          <w:rFonts w:ascii="Arial" w:hAnsi="Arial" w:cs="Arial"/>
        </w:rPr>
      </w:pPr>
    </w:p>
    <w:p w:rsidR="00707A92" w:rsidRPr="00EF58B3" w:rsidRDefault="00707A92">
      <w:pPr>
        <w:pStyle w:val="Standard"/>
        <w:rPr>
          <w:rFonts w:ascii="Arial" w:hAnsi="Arial" w:cs="Arial"/>
        </w:rPr>
      </w:pP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 xml:space="preserve">В соответствии со статьями 26 </w:t>
      </w:r>
      <w:r w:rsidRPr="00EF58B3">
        <w:rPr>
          <w:rFonts w:ascii="Arial" w:hAnsi="Arial" w:cs="Arial"/>
          <w:lang w:val="ru-RU"/>
        </w:rPr>
        <w:t xml:space="preserve">Устава </w:t>
      </w:r>
      <w:r w:rsidR="00F87218" w:rsidRPr="00EF58B3">
        <w:rPr>
          <w:rFonts w:ascii="Arial" w:hAnsi="Arial" w:cs="Arial"/>
          <w:lang w:val="ru-RU"/>
        </w:rPr>
        <w:t>Алексее-Тенгинского</w:t>
      </w:r>
      <w:r w:rsidRPr="00EF58B3">
        <w:rPr>
          <w:rFonts w:ascii="Arial" w:hAnsi="Arial" w:cs="Arial"/>
        </w:rPr>
        <w:t xml:space="preserve"> сельского поселения Тбилисского района, Совет </w:t>
      </w:r>
      <w:r w:rsidR="00F87218" w:rsidRPr="00EF58B3">
        <w:rPr>
          <w:rFonts w:ascii="Arial" w:hAnsi="Arial" w:cs="Arial"/>
          <w:lang w:val="ru-RU"/>
        </w:rPr>
        <w:t>Алексее-Тенгинского</w:t>
      </w:r>
      <w:r w:rsidRPr="00EF58B3">
        <w:rPr>
          <w:rFonts w:ascii="Arial" w:hAnsi="Arial" w:cs="Arial"/>
        </w:rPr>
        <w:t xml:space="preserve"> сельского поселения Тбилисского района р е ш и л: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 xml:space="preserve">1. Внести в Правила благоустройства </w:t>
      </w:r>
      <w:r w:rsidR="00F87218" w:rsidRPr="00EF58B3">
        <w:rPr>
          <w:rFonts w:ascii="Arial" w:hAnsi="Arial" w:cs="Arial"/>
          <w:lang w:val="ru-RU"/>
        </w:rPr>
        <w:t>Алексее-Тенгинского</w:t>
      </w:r>
      <w:r w:rsidRPr="00EF58B3">
        <w:rPr>
          <w:rFonts w:ascii="Arial" w:hAnsi="Arial" w:cs="Arial"/>
        </w:rPr>
        <w:t xml:space="preserve"> сельского поселения Тбилисского района, утвержденные решением Совета </w:t>
      </w:r>
      <w:r w:rsidR="00F87218" w:rsidRPr="00EF58B3">
        <w:rPr>
          <w:rFonts w:ascii="Arial" w:hAnsi="Arial" w:cs="Arial"/>
          <w:lang w:val="ru-RU"/>
        </w:rPr>
        <w:t>Алексее-Тенгинского</w:t>
      </w:r>
      <w:r w:rsidRPr="00EF58B3">
        <w:rPr>
          <w:rFonts w:ascii="Arial" w:hAnsi="Arial" w:cs="Arial"/>
        </w:rPr>
        <w:t xml:space="preserve"> сельского поселения Тбилисского района от </w:t>
      </w:r>
      <w:r w:rsidR="00F87218" w:rsidRPr="00EF58B3">
        <w:rPr>
          <w:rFonts w:ascii="Arial" w:hAnsi="Arial" w:cs="Arial"/>
          <w:lang w:val="ru-RU"/>
        </w:rPr>
        <w:t>30 октября</w:t>
      </w:r>
      <w:r w:rsidRPr="00EF58B3">
        <w:rPr>
          <w:rFonts w:ascii="Arial" w:hAnsi="Arial" w:cs="Arial"/>
        </w:rPr>
        <w:t xml:space="preserve"> 2020 года № </w:t>
      </w:r>
      <w:r w:rsidR="00F87218" w:rsidRPr="00EF58B3">
        <w:rPr>
          <w:rFonts w:ascii="Arial" w:hAnsi="Arial" w:cs="Arial"/>
          <w:lang w:val="ru-RU"/>
        </w:rPr>
        <w:t>45</w:t>
      </w:r>
      <w:r w:rsidRPr="00EF58B3">
        <w:rPr>
          <w:rFonts w:ascii="Arial" w:hAnsi="Arial" w:cs="Arial"/>
        </w:rPr>
        <w:t xml:space="preserve"> следующие изменения:</w:t>
      </w:r>
    </w:p>
    <w:p w:rsidR="00707A92" w:rsidRPr="00EF58B3" w:rsidRDefault="00432B0F" w:rsidP="00EF58B3">
      <w:pPr>
        <w:pStyle w:val="ConsPlusNormal"/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1.1</w:t>
      </w:r>
      <w:proofErr w:type="gramStart"/>
      <w:r w:rsidRPr="00EF58B3">
        <w:rPr>
          <w:rFonts w:ascii="Arial" w:hAnsi="Arial" w:cs="Arial"/>
        </w:rPr>
        <w:t xml:space="preserve"> В</w:t>
      </w:r>
      <w:proofErr w:type="gramEnd"/>
      <w:r w:rsidRPr="00EF58B3">
        <w:rPr>
          <w:rFonts w:ascii="Arial" w:hAnsi="Arial" w:cs="Arial"/>
        </w:rPr>
        <w:t xml:space="preserve"> </w:t>
      </w:r>
      <w:r w:rsidR="00A47035" w:rsidRPr="00EF58B3">
        <w:rPr>
          <w:rFonts w:ascii="Arial" w:hAnsi="Arial" w:cs="Arial"/>
        </w:rPr>
        <w:t>раздел 3 «Порядок содержания зеленых насаждений» добавить п.3.5</w:t>
      </w:r>
      <w:r w:rsidRPr="00EF58B3">
        <w:rPr>
          <w:rFonts w:ascii="Arial" w:hAnsi="Arial" w:cs="Arial"/>
        </w:rPr>
        <w:t xml:space="preserve"> З</w:t>
      </w:r>
      <w:r w:rsidR="00A47035" w:rsidRPr="00EF58B3">
        <w:rPr>
          <w:rFonts w:ascii="Arial" w:hAnsi="Arial" w:cs="Arial"/>
        </w:rPr>
        <w:t>оны отдыха.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Зоны отдыха - территории, предназначенные и обустроенные для организации активного массового отдыха и рекреации.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Обязательный перечень элементов благоустройства на территории зоны отдыха включает: твердые виды покрытия проезда, озеленение, скамьи, урны, малые контейнеры для мусора, оборудование пляжа.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При проектировании озеленения рекомендуется обеспечивать: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- сохранение травяного покрова, древесно-кустарниковой и прибрежной растительности не менее, чем на 80 % общей площади зоны отдыха;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eastAsia="ru-RU"/>
        </w:rPr>
      </w:pPr>
      <w:r w:rsidRPr="00EF58B3">
        <w:rPr>
          <w:rFonts w:ascii="Arial" w:hAnsi="Arial" w:cs="Arial"/>
          <w:lang w:eastAsia="ru-RU"/>
        </w:rPr>
        <w:t>Возможно размещение ограждения, уличного технического оборудования (торговые тележки "вода", "мороженое").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 xml:space="preserve">1.2. </w:t>
      </w:r>
      <w:r w:rsidRPr="00EF58B3">
        <w:rPr>
          <w:rFonts w:ascii="Arial" w:eastAsia="Times New Roman" w:hAnsi="Arial" w:cs="Arial"/>
          <w:lang w:val="ru-RU" w:eastAsia="ru-RU" w:bidi="ar-SA"/>
        </w:rPr>
        <w:t>Раздел 5 «Внешнее благоустройство зданий, ремонт и содержание ж</w:t>
      </w:r>
      <w:r w:rsidRPr="00EF58B3">
        <w:rPr>
          <w:rFonts w:ascii="Arial" w:eastAsia="Times New Roman" w:hAnsi="Arial" w:cs="Arial"/>
          <w:lang w:val="ru-RU" w:eastAsia="ru-RU" w:bidi="ar-SA"/>
        </w:rPr>
        <w:t>и</w:t>
      </w:r>
      <w:r w:rsidRPr="00EF58B3">
        <w:rPr>
          <w:rFonts w:ascii="Arial" w:eastAsia="Times New Roman" w:hAnsi="Arial" w:cs="Arial"/>
          <w:lang w:val="ru-RU" w:eastAsia="ru-RU" w:bidi="ar-SA"/>
        </w:rPr>
        <w:t xml:space="preserve">лых культурно-бытовых, общественных зданий и сооружений» п. </w:t>
      </w:r>
      <w:r w:rsidRPr="00EF58B3">
        <w:rPr>
          <w:rFonts w:ascii="Arial" w:eastAsia="Times New Roman" w:hAnsi="Arial" w:cs="Arial"/>
          <w:lang w:eastAsia="ru-RU" w:bidi="ar-SA"/>
        </w:rPr>
        <w:t xml:space="preserve">5.3 </w:t>
      </w:r>
      <w:r w:rsidRPr="00EF58B3">
        <w:rPr>
          <w:rFonts w:ascii="Arial" w:eastAsia="Times New Roman" w:hAnsi="Arial" w:cs="Arial"/>
          <w:lang w:val="ru-RU" w:eastAsia="ru-RU" w:bidi="ar-SA"/>
        </w:rPr>
        <w:t>дополнить словами: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eastAsia="Times New Roman" w:hAnsi="Arial" w:cs="Arial"/>
          <w:lang w:eastAsia="ru-RU" w:bidi="ar-SA"/>
        </w:rPr>
        <w:t xml:space="preserve">«На территории </w:t>
      </w:r>
      <w:r w:rsidR="00F87218" w:rsidRPr="00EF58B3">
        <w:rPr>
          <w:rFonts w:ascii="Arial" w:eastAsia="Times New Roman" w:hAnsi="Arial" w:cs="Arial"/>
          <w:lang w:val="ru-RU" w:eastAsia="ru-RU" w:bidi="ar-SA"/>
        </w:rPr>
        <w:t>Алексее-Тенгинского</w:t>
      </w:r>
      <w:r w:rsidRPr="00EF58B3">
        <w:rPr>
          <w:rFonts w:ascii="Arial" w:eastAsia="Times New Roman" w:hAnsi="Arial" w:cs="Arial"/>
          <w:lang w:val="ru-RU" w:eastAsia="ru-RU" w:bidi="ar-SA"/>
        </w:rPr>
        <w:t xml:space="preserve"> </w:t>
      </w:r>
      <w:r w:rsidRPr="00EF58B3">
        <w:rPr>
          <w:rFonts w:ascii="Arial" w:eastAsia="Times New Roman" w:hAnsi="Arial" w:cs="Arial"/>
          <w:lang w:eastAsia="ru-RU" w:bidi="ar-SA"/>
        </w:rPr>
        <w:t>сельского поселения Тбилисского района осветительные установки должны обеспечивать: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>а) количественные и качественные показатели, предусмотренные нормами Свода правил, СНиП о искусственном освещении селитебных территорий и наружного архитектурного освещения;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>б)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 xml:space="preserve">в) экономичность и энергоэффективность применяемых установок, </w:t>
      </w:r>
      <w:r w:rsidRPr="00EF58B3">
        <w:rPr>
          <w:rFonts w:ascii="Arial" w:eastAsia="Times New Roman" w:hAnsi="Arial" w:cs="Arial"/>
          <w:lang w:eastAsia="ru-RU" w:bidi="ar-SA"/>
        </w:rPr>
        <w:lastRenderedPageBreak/>
        <w:t>рациональное распределение и использование электроэнергии;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>г)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>д) удобство обслуживания и управления при разных режимах работы установок.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Times New Roman" w:hAnsi="Arial" w:cs="Arial"/>
          <w:lang w:eastAsia="ru-RU" w:bidi="ar-SA"/>
        </w:rPr>
      </w:pPr>
      <w:r w:rsidRPr="00EF58B3">
        <w:rPr>
          <w:rFonts w:ascii="Arial" w:eastAsia="Times New Roman" w:hAnsi="Arial" w:cs="Arial"/>
          <w:lang w:eastAsia="ru-RU" w:bidi="ar-SA"/>
        </w:rPr>
        <w:t>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  <w:r w:rsidRPr="00EF58B3">
        <w:rPr>
          <w:rFonts w:ascii="Arial" w:eastAsia="Times New Roman" w:hAnsi="Arial" w:cs="Arial"/>
          <w:lang w:eastAsia="ru-RU" w:bidi="ar-SA"/>
        </w:rPr>
        <w:t>Не допускается самовольное подсоединение и подключение проводов и кабелей к сетям и устройствам наружного освещения».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eastAsia="en-US" w:bidi="ar-SA"/>
        </w:rPr>
        <w:t xml:space="preserve">п.5.3.1. «На </w:t>
      </w:r>
      <w:r w:rsidRPr="00EF58B3">
        <w:rPr>
          <w:rFonts w:ascii="Arial" w:eastAsia="Calibri" w:hAnsi="Arial" w:cs="Arial"/>
          <w:lang w:val="ru-RU" w:eastAsia="en-US" w:bidi="ar-SA"/>
        </w:rPr>
        <w:t>территории</w:t>
      </w:r>
      <w:r w:rsidR="00F87218" w:rsidRPr="00EF58B3">
        <w:rPr>
          <w:rFonts w:ascii="Arial" w:eastAsia="Calibri" w:hAnsi="Arial" w:cs="Arial"/>
          <w:lang w:val="ru-RU" w:eastAsia="en-US" w:bidi="ar-SA"/>
        </w:rPr>
        <w:t xml:space="preserve"> Алексее-Тенгинского</w:t>
      </w:r>
      <w:r w:rsidRPr="00EF58B3">
        <w:rPr>
          <w:rFonts w:ascii="Arial" w:eastAsia="Calibri" w:hAnsi="Arial" w:cs="Arial"/>
          <w:lang w:eastAsia="ru-RU" w:bidi="ar-SA"/>
        </w:rPr>
        <w:t xml:space="preserve"> </w:t>
      </w:r>
      <w:r w:rsidRPr="00EF58B3">
        <w:rPr>
          <w:rFonts w:ascii="Arial" w:eastAsia="Calibri" w:hAnsi="Arial" w:cs="Arial"/>
          <w:lang w:eastAsia="en-US" w:bidi="ar-SA"/>
        </w:rPr>
        <w:t>сельского поселения Тбилисского района применяются следующие виды наружного освещения: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 xml:space="preserve"> - уличное (утилитарное) освещение - освещение проезжей части дорог, улиц, площадей, территорий спортивных сооружений, находящихся в муниципальной собственности, с целью обеспечения безопасного движения автотранспорта и пешеходов, для общей ориентации на территории городского поселения;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- архитектурно-художественное освещение -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- рекламное и информационное освещение - освещение рекламных конструкций и объектов городской наружной информации;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- световые сигналы, указывающие транспорту и пешеходам направления движения.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Установки архитектурно-художественного освещения должны иметь два режима работы: повседневный и праздничный.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Проект наружного освещения для всех строящихся и реконструируемых (реставрируемых) зданий, сооружений и комплексов вне зависимости от места их размещения разрабатывается в соответствии с концепцией архитектурно-художественного освещения.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На территории городского поселения применяются осветительные установки: функциональное освещение, архитектурное освещение, световая информация.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При проектировании каждой из групп осветительных установок необходимо обеспечить экономичность и энергоэффективность применяемых установок, рациональное распределение и использование электроэнергии.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Функциональное освещение применяется для освещения дорожных покрытий и пространств в транспортных и пешеходных зонах. Вид применяемых на территории города стационарных установок функционального освещения: обычные.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 обычных установках светильники располагаются на опорах (венчающие, консольные), фасадах (бра, плафоны). Обычные установки устанавливаются в транспортных и пешеходных зонах.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Архитектурное освещение применяется для формирования художественно-выразительной визуальной среды в вечернее время, выявления из темноты и образной интерпретации памятников истории.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К временным установкам архитектурного освещения относится праздничная иллюминация, предусмотренная разделом 16 настоящих Правил.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 целях архитектурного освещения могут использоваться также установки функционального освещения световой информации и рекламы, элементы которых могут крепиться на опорах уличных светильников.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Световая информация, в том числе световая реклама, применяется для ориентации пешеходов и водителей автотранспорта в пространстве.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lastRenderedPageBreak/>
        <w:t>В стационарных установках функционального освещения и архитектурного освещения должны применяться энергоэффективные источники света: опоры, кронштейны, защитные решетки, экраны и конструктивные элементы, отвечающие требованиям национальных стандартов.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Режимы работы осветительных установок.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 темное время суток предусматриваются следующие режимы работы осветительных установок: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- вечерний будничный режим, когда функционируют все стационарные установки функционального освещения, архитектурного освещения и световой информации, за исключением систем праздничного освещения;</w:t>
      </w:r>
    </w:p>
    <w:p w:rsidR="00707A92" w:rsidRPr="00EF58B3" w:rsidRDefault="00EF58B3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>
        <w:rPr>
          <w:rFonts w:ascii="Arial" w:eastAsia="Calibri" w:hAnsi="Arial" w:cs="Arial"/>
          <w:lang w:val="ru-RU" w:eastAsia="en-US" w:bidi="ar-SA"/>
        </w:rPr>
        <w:t xml:space="preserve">- </w:t>
      </w:r>
      <w:r w:rsidR="00A47035" w:rsidRPr="00EF58B3">
        <w:rPr>
          <w:rFonts w:ascii="Arial" w:eastAsia="Calibri" w:hAnsi="Arial" w:cs="Arial"/>
          <w:lang w:eastAsia="en-US" w:bidi="ar-SA"/>
        </w:rPr>
        <w:t>праздничный режим, когда функционируют все стационарные и временные осветительные установки».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 xml:space="preserve">1.3. </w:t>
      </w:r>
      <w:r w:rsidRPr="00EF58B3">
        <w:rPr>
          <w:rFonts w:ascii="Arial" w:eastAsia="Calibri" w:hAnsi="Arial" w:cs="Arial"/>
          <w:lang w:val="ru-RU" w:eastAsia="en-US" w:bidi="ar-SA"/>
        </w:rPr>
        <w:t>Раздел 7 дополнить п.7.3.5 следущего содержания: ««Пешеходные коммуникации обеспечивают пешеходные связи и передвижение на территории городского поселения.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К пешеходным коммуникациям относятся: тротуары, дорожки, тропинки.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При организации пешеходных коммуникаций должно быть обеспечено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необходимо выделять основные и второстепенные пешеходные связи.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Во всех случаях пересечения основных пешеходных коммуникаций с транспортными проездами необходимо устройство бордюрных пандусов, тротуарных съездов.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При устройстве на пешеходных коммуникациях пандусов, мостиков необходимо обеспечивать создание равновеликой пропускной способности этих элементов.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Запрещается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Размещение основных пешеходных коммуникаций может осуществляться вдоль улиц и дорог (тротуары) или независимо от них.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Ширина основных пешеходных коммуникаций рассчитывается в зависимости от интенсивности пешеходного движения в часы "пик" и пропускной способности одной полосы движения в соответствии с расчетом ширины пешеходных коммуникаций.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 Зеленые насаждения, здания, выступающие элементы фасадов, расположенные вдоль основных пешеходных коммуникаций, не должны сокращать ширину дорожек, а также минимальную высоту свободного пространства над уровнем покрытия дорожки равную 2 м. Для вновь проектируемых и реконструируемых основных пешеходных коммуникаций при ширине 1,5 м через каждые 30 м необходимо предусматривать уширения (разъездные площадки) для обеспечения передвижения инвалидов в креслах-колясках во встречных направлениях.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eastAsia="en-US" w:bidi="ar-SA"/>
        </w:rPr>
        <w:t>Ширину тротуаров следует устанавливать с учетом категорий улиц и дорог и в зависимости от размеров пешеходного движения, а также размещения в пределах тротуаров, опор, мачт, деревьев. Ширину пешеходной части тротуаров следует принимать не менее 1 м.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lastRenderedPageBreak/>
        <w:t>Основные пешеходные коммуникации в составе объектов рекреации с рекреационной нагрузкой более 100 чел./га должны быть оборудованы площадками для установки скамей и урн, размещая их не реже чем через каждые 100 м. Площадка должна прилегать к пешеходным дорожкам, иметь глубину не менее 120 см, расстояние от внешнего края сиденья скамьи до пешеходного пути - не менее 60 см. Длина площадки рассчитывается на размещение как минимум одной скамьи, двух урн (малых контейнеров для мусора), а также места для инвалида-колясочника (свободное пространство шириной не менее 85 см рядом со скамьей).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Второстепенные пешеходные коммуникации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парк, лесопарк). Ширина второстепенных пешеходных коммуникаций составляет 1,0-1,5 м.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Общая ширина пешеходной коммуникации в случае размещения на ней нестационарных торговых объектов складывается из ширины пешеходной части, ширины участка, отводимого для размещения объекта, и ширины буферной зоны (не менее 0,75 м), предназначенной для посетителей и покупателей. В ширину пешеходной части тротуаров и дорожек не включаются площади, необходимые для размещения киосков, скамеек. Для вновь проектируемых пешеходных коммуникаций ширину на участках возможного встречного движения инвалидов на креслах-колясках не допускается устанавливать менее 2 м.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При непосредственном примыкании тротуаров к стенам зданий, подпорным стенкам или оградам следует увеличивать их ширину не менее чем на 0,5 м.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 случае необходимости расширения тротуаров возможно устраивать пешеходные галереи в составе прилегающей застройки.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Обязательный перечень элементов благоустройства территории основных пешеходных коммуникаций включает: твердые виды покрытия, элементы сопряжения поверхностей, урны или контейнеры для мусора, осветительное оборудование, скамьи (на территории рекреаций).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Обязательный перечень элементов благоустройства на второстепенных пешеходных коммуникациях включает различные виды покрытия: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 xml:space="preserve"> - на дорожках скверов устанавливаются твердые виды покрытия с элементами сопряжения, а также мощение плиткой;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 xml:space="preserve"> - на дорожках парков, лесопарков устанавливаются различные виды мягкого или комбинированного покрытий, пешеходные тропы с естественным грунтовым покрытием, в том числе для скандинавской ходьбы.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color w:val="000000"/>
          <w:lang w:eastAsia="en-US" w:bidi="ar-SA"/>
        </w:rPr>
      </w:pPr>
      <w:r w:rsidRPr="00EF58B3">
        <w:rPr>
          <w:rFonts w:ascii="Arial" w:eastAsia="Calibri" w:hAnsi="Arial" w:cs="Arial"/>
          <w:color w:val="000000"/>
          <w:lang w:eastAsia="en-US" w:bidi="ar-SA"/>
        </w:rPr>
        <w:t>Стоянки для хранения велосипедов могут устраиваться в комплексе с объектами посещения.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 xml:space="preserve">1.4. </w:t>
      </w:r>
      <w:r w:rsidRPr="00EF58B3">
        <w:rPr>
          <w:rFonts w:ascii="Arial" w:eastAsia="Calibri" w:hAnsi="Arial" w:cs="Arial"/>
          <w:lang w:val="ru-RU" w:eastAsia="en-US" w:bidi="ar-SA"/>
        </w:rPr>
        <w:t>Раздел 11 п.11.3 дополнить словами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eastAsia="ru-RU" w:bidi="ar-SA"/>
        </w:rPr>
        <w:t>- «Игровое и спортивное оборудование. Площадки».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val="ru-RU" w:eastAsia="ru-RU" w:bidi="ar-SA"/>
        </w:rPr>
        <w:t>Внести п.11.3.1 «</w:t>
      </w:r>
      <w:r w:rsidRPr="00EF58B3">
        <w:rPr>
          <w:rFonts w:ascii="Arial" w:eastAsia="Calibri" w:hAnsi="Arial" w:cs="Arial"/>
          <w:lang w:eastAsia="ru-RU" w:bidi="ar-SA"/>
        </w:rPr>
        <w:t xml:space="preserve"> На территории </w:t>
      </w:r>
      <w:r w:rsidR="00F87218" w:rsidRPr="00EF58B3">
        <w:rPr>
          <w:rFonts w:ascii="Arial" w:eastAsia="Calibri" w:hAnsi="Arial" w:cs="Arial"/>
          <w:lang w:val="ru-RU" w:eastAsia="ru-RU" w:bidi="ar-SA"/>
        </w:rPr>
        <w:t>Алексее-Тенгинского</w:t>
      </w:r>
      <w:r w:rsidRPr="00EF58B3">
        <w:rPr>
          <w:rFonts w:ascii="Arial" w:eastAsia="Calibri" w:hAnsi="Arial" w:cs="Arial"/>
          <w:lang w:eastAsia="ru-RU" w:bidi="ar-SA"/>
        </w:rPr>
        <w:t xml:space="preserve"> сельского поселения Тбилисского района могут размещаться следующие виды площадок: детские площадки, площадки для отдыха, спортивные площадки, контейнерные площадки, площадки для выгула собак.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eastAsia="ru-RU" w:bidi="ar-SA"/>
        </w:rPr>
        <w:t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eastAsia="ru-RU" w:bidi="ar-SA"/>
        </w:rPr>
        <w:t>Спортивное оборудование предназначено для всех возрастных групп населения, размещается на спортивных площадках, либо в специально оборудованных пешеходных зонах.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eastAsia="ru-RU" w:bidi="ar-SA"/>
        </w:rPr>
        <w:lastRenderedPageBreak/>
        <w:t>Игровое и спортивное оборудование на территории Алексее-Тенгинского</w:t>
      </w:r>
      <w:r w:rsidRPr="00EF58B3">
        <w:rPr>
          <w:rFonts w:ascii="Arial" w:eastAsia="Calibri" w:hAnsi="Arial" w:cs="Arial"/>
          <w:lang w:eastAsia="en-US" w:bidi="ar-SA"/>
        </w:rPr>
        <w:t xml:space="preserve"> сельского поселения Тбилисского района</w:t>
      </w:r>
      <w:r w:rsidRPr="00EF58B3">
        <w:rPr>
          <w:rFonts w:ascii="Arial" w:eastAsia="Calibri" w:hAnsi="Arial" w:cs="Arial"/>
          <w:lang w:eastAsia="ru-RU" w:bidi="ar-SA"/>
        </w:rPr>
        <w:t xml:space="preserve"> представлено игровыми, физкультурно-оздоровительными устройствами, сооружениями и (или) их комплексами.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eastAsia="ru-RU" w:bidi="ar-SA"/>
        </w:rPr>
        <w:t>Игровое оборудование должно соответствовать требованиям санитарно-гигиенических норм, охраны жизни и здоровья граждан, быть удобным в технической эксплуатации, эстетически привлекательным.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eastAsia="ru-RU" w:bidi="ar-SA"/>
        </w:rPr>
        <w:t>Запрещается размещать на территории общего пользования (в том числе на прилегающей территории) игровое и спортивное оборудование без согласования с администрацией поселения“.</w:t>
      </w:r>
    </w:p>
    <w:p w:rsidR="00707A92" w:rsidRPr="00EF58B3" w:rsidRDefault="00A47035" w:rsidP="00EF58B3">
      <w:pPr>
        <w:pStyle w:val="Standard"/>
        <w:numPr>
          <w:ilvl w:val="1"/>
          <w:numId w:val="6"/>
        </w:numPr>
        <w:ind w:firstLine="851"/>
        <w:jc w:val="both"/>
        <w:rPr>
          <w:rFonts w:ascii="Arial" w:eastAsia="Calibri" w:hAnsi="Arial" w:cs="Arial"/>
          <w:lang w:eastAsia="ru-RU" w:bidi="ar-SA"/>
        </w:rPr>
      </w:pPr>
      <w:r w:rsidRPr="00EF58B3">
        <w:rPr>
          <w:rFonts w:ascii="Arial" w:eastAsia="Calibri" w:hAnsi="Arial" w:cs="Arial"/>
          <w:lang w:val="ru-RU" w:eastAsia="ru-RU" w:bidi="ar-SA"/>
        </w:rPr>
        <w:t>Раздел 19 дополнить пунктом 19.1 следующего содержания: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val="ru-RU" w:eastAsia="ru-RU" w:bidi="ar-SA"/>
        </w:rPr>
        <w:t xml:space="preserve">«1. На территории </w:t>
      </w:r>
      <w:r w:rsidR="00656160" w:rsidRPr="00EF58B3">
        <w:rPr>
          <w:rFonts w:ascii="Arial" w:eastAsia="Calibri" w:hAnsi="Arial" w:cs="Arial"/>
          <w:lang w:val="ru-RU" w:eastAsia="ru-RU" w:bidi="ar-SA"/>
        </w:rPr>
        <w:t>Алексее-Тенгинского</w:t>
      </w:r>
      <w:r w:rsidRPr="00EF58B3">
        <w:rPr>
          <w:rFonts w:ascii="Arial" w:eastAsia="Calibri" w:hAnsi="Arial" w:cs="Arial"/>
          <w:lang w:val="ru-RU" w:eastAsia="ru-RU" w:bidi="ar-SA"/>
        </w:rPr>
        <w:t xml:space="preserve"> сельского поселения Тбилисского района в состав всех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 должны соблюдаться требования</w:t>
      </w:r>
      <w:r w:rsidRPr="00EF58B3">
        <w:rPr>
          <w:rFonts w:ascii="Arial" w:eastAsia="Calibri" w:hAnsi="Arial" w:cs="Arial"/>
          <w:bCs/>
          <w:lang w:val="ru-RU" w:eastAsia="ru-RU" w:bidi="ar-SA"/>
        </w:rPr>
        <w:t>Свода правил СП 59.13330.2016</w:t>
      </w:r>
      <w:r w:rsidR="00367297" w:rsidRPr="00EF58B3">
        <w:rPr>
          <w:rFonts w:ascii="Arial" w:eastAsia="Calibri" w:hAnsi="Arial" w:cs="Arial"/>
          <w:bCs/>
          <w:lang w:val="ru-RU" w:eastAsia="ru-RU" w:bidi="ar-SA"/>
        </w:rPr>
        <w:t xml:space="preserve"> </w:t>
      </w:r>
      <w:r w:rsidRPr="00EF58B3">
        <w:rPr>
          <w:rFonts w:ascii="Arial" w:eastAsia="Calibri" w:hAnsi="Arial" w:cs="Arial"/>
          <w:bCs/>
          <w:lang w:val="ru-RU" w:eastAsia="ru-RU" w:bidi="ar-SA"/>
        </w:rPr>
        <w:t>"Доступность зданий и сооружений для маломобильных групп населения"</w:t>
      </w:r>
      <w:r w:rsidR="00367297" w:rsidRPr="00EF58B3">
        <w:rPr>
          <w:rFonts w:ascii="Arial" w:eastAsia="Calibri" w:hAnsi="Arial" w:cs="Arial"/>
          <w:bCs/>
          <w:lang w:val="ru-RU" w:eastAsia="ru-RU" w:bidi="ar-SA"/>
        </w:rPr>
        <w:t xml:space="preserve"> </w:t>
      </w:r>
      <w:r w:rsidRPr="00EF58B3">
        <w:rPr>
          <w:rFonts w:ascii="Arial" w:eastAsia="Calibri" w:hAnsi="Arial" w:cs="Arial"/>
          <w:bCs/>
          <w:lang w:val="ru-RU" w:eastAsia="ru-RU" w:bidi="ar-SA"/>
        </w:rPr>
        <w:t xml:space="preserve">Актуализированная редакция </w:t>
      </w:r>
      <w:hyperlink r:id="rId8" w:history="1">
        <w:r w:rsidRPr="00EF58B3">
          <w:rPr>
            <w:rStyle w:val="Internetlink"/>
            <w:rFonts w:ascii="Arial" w:eastAsia="Calibri" w:hAnsi="Arial" w:cs="Arial"/>
            <w:lang w:eastAsia="ru-RU" w:bidi="ar-SA"/>
          </w:rPr>
          <w:t>СНиП 35-01-2001</w:t>
        </w:r>
      </w:hyperlink>
      <w:r w:rsidR="00367297" w:rsidRPr="00EF58B3">
        <w:rPr>
          <w:rFonts w:ascii="Arial" w:hAnsi="Arial" w:cs="Arial"/>
          <w:lang w:val="ru-RU"/>
        </w:rPr>
        <w:t xml:space="preserve"> </w:t>
      </w:r>
      <w:r w:rsidRPr="00EF58B3">
        <w:rPr>
          <w:rFonts w:ascii="Arial" w:eastAsia="Calibri" w:hAnsi="Arial" w:cs="Arial"/>
          <w:bCs/>
          <w:lang w:val="ru-RU" w:eastAsia="ru-RU" w:bidi="ar-SA"/>
        </w:rPr>
        <w:t xml:space="preserve">(утв. </w:t>
      </w:r>
      <w:hyperlink r:id="rId9" w:history="1">
        <w:r w:rsidRPr="00EF58B3">
          <w:rPr>
            <w:rStyle w:val="Internetlink"/>
            <w:rFonts w:ascii="Arial" w:eastAsia="Calibri" w:hAnsi="Arial" w:cs="Arial"/>
            <w:lang w:eastAsia="ru-RU" w:bidi="ar-SA"/>
          </w:rPr>
          <w:t>приказом</w:t>
        </w:r>
      </w:hyperlink>
      <w:r w:rsidRPr="00EF58B3">
        <w:rPr>
          <w:rFonts w:ascii="Arial" w:eastAsia="Calibri" w:hAnsi="Arial" w:cs="Arial"/>
          <w:bCs/>
          <w:lang w:val="ru-RU" w:eastAsia="ru-RU" w:bidi="ar-SA"/>
        </w:rPr>
        <w:t xml:space="preserve"> Министерства строительства и жилищно-коммунального</w:t>
      </w:r>
      <w:r w:rsidR="00EF58B3">
        <w:rPr>
          <w:rFonts w:ascii="Arial" w:eastAsia="Calibri" w:hAnsi="Arial" w:cs="Arial"/>
          <w:bCs/>
          <w:lang w:val="ru-RU" w:eastAsia="ru-RU" w:bidi="ar-SA"/>
        </w:rPr>
        <w:t xml:space="preserve"> хозяйства РФ от 14 ноября 2016 </w:t>
      </w:r>
      <w:r w:rsidRPr="00EF58B3">
        <w:rPr>
          <w:rFonts w:ascii="Arial" w:eastAsia="Calibri" w:hAnsi="Arial" w:cs="Arial"/>
          <w:bCs/>
          <w:lang w:val="ru-RU" w:eastAsia="ru-RU" w:bidi="ar-SA"/>
        </w:rPr>
        <w:t>г. N 798/</w:t>
      </w:r>
      <w:proofErr w:type="gramStart"/>
      <w:r w:rsidRPr="00EF58B3">
        <w:rPr>
          <w:rFonts w:ascii="Arial" w:eastAsia="Calibri" w:hAnsi="Arial" w:cs="Arial"/>
          <w:bCs/>
          <w:lang w:val="ru-RU" w:eastAsia="ru-RU" w:bidi="ar-SA"/>
        </w:rPr>
        <w:t>пр</w:t>
      </w:r>
      <w:proofErr w:type="gramEnd"/>
      <w:r w:rsidRPr="00EF58B3">
        <w:rPr>
          <w:rFonts w:ascii="Arial" w:eastAsia="Calibri" w:hAnsi="Arial" w:cs="Arial"/>
          <w:bCs/>
          <w:lang w:val="ru-RU" w:eastAsia="ru-RU" w:bidi="ar-SA"/>
        </w:rPr>
        <w:t>)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Для инвалидов с поражением опорно-двигательного аппарата, в том числе на кресле-коляске или с дополнительными опорами, должны быть изменены параметры проходов и проездов, предельные уклоны профиля пути, качество поверхности путей передвижения, оборудование городской среды для обеспечения информацией и общественным обслуживанием, в том числе транспортным.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Для инвалидов с дефектами зрения, в том числе полностью слепых, должны быть изменены параметры путей передвижения инвалидов (расчетные габариты пешехода увеличиваются в связи с пользованием тростью), поверхность путей передвижения не должна иметь различные препятствия, должно быть обеспечено получение необходимой звуковой и тактильной (осязательной) информации, улучшено качество освещения на улицах.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Для инвалидов с дефектами слуха, в том числе полностью глухих, должна быть обеспечена хорошо различимая визуальная информация и созданы специальные элементы среды.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Тротуары и покрытия в пешеходных зонах должны обеспечивать доступность для инвалидов-колясочников и инвалидов по зрению.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 действующего законодательства и настоящих Правил.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 xml:space="preserve">Проектирование, строительство, установку технических средств и оборудования, способствующих передвижению инвалидов и других </w:t>
      </w:r>
      <w:r w:rsidRPr="00EF58B3">
        <w:rPr>
          <w:rFonts w:ascii="Arial" w:hAnsi="Arial" w:cs="Arial"/>
        </w:rPr>
        <w:lastRenderedPageBreak/>
        <w:t>маломобильных групп населения, необходимо осуществлять при новом строительстве заказчиком в соответствии с утвержденной проектной документацией, с учетом мнения экспертов и принципов разумного приспособления.</w:t>
      </w:r>
    </w:p>
    <w:p w:rsidR="00707A92" w:rsidRPr="00EF58B3" w:rsidRDefault="00A47035" w:rsidP="00EF58B3">
      <w:pPr>
        <w:pStyle w:val="Standard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Объекты социальной, транспортной и инженерной инфраструктур (жилые здания постоянного и временного проживания и гостиницы, административные здания, культурно-зрелищные здания, учреждения образования, социального назначения, здравоохранения, физкультурно-оздоровительные и спортивные объекты, объекты коммунально-бытового назначения, общественного питания и торговли, культовые здания, здания и сооружения связи и информации, места отдыха, пляжи и объекты рекреационного назначения, сооружения транспорта, тротуары и пешеходные дорожки, надземные и подземные переходы) должны быть оборудованы и оснащены:</w:t>
      </w:r>
    </w:p>
    <w:p w:rsidR="00707A92" w:rsidRPr="00EF58B3" w:rsidRDefault="00A47035" w:rsidP="00EF58B3">
      <w:pPr>
        <w:pStyle w:val="Standard"/>
        <w:ind w:left="-36" w:firstLine="36"/>
        <w:jc w:val="both"/>
        <w:rPr>
          <w:rFonts w:ascii="Arial" w:hAnsi="Arial" w:cs="Arial"/>
        </w:rPr>
      </w:pPr>
      <w:r w:rsidRPr="00EF58B3">
        <w:rPr>
          <w:rFonts w:ascii="Arial" w:hAnsi="Arial" w:cs="Arial"/>
          <w:color w:val="000000"/>
        </w:rPr>
        <w:t>пандусами и поручнями;</w:t>
      </w:r>
    </w:p>
    <w:p w:rsidR="00707A92" w:rsidRPr="00EF58B3" w:rsidRDefault="00A47035" w:rsidP="00EF58B3">
      <w:pPr>
        <w:pStyle w:val="Standard"/>
        <w:ind w:left="-36" w:firstLine="36"/>
        <w:jc w:val="both"/>
        <w:rPr>
          <w:rFonts w:ascii="Arial" w:hAnsi="Arial" w:cs="Arial"/>
        </w:rPr>
      </w:pPr>
      <w:r w:rsidRPr="00EF58B3">
        <w:rPr>
          <w:rFonts w:ascii="Arial" w:hAnsi="Arial" w:cs="Arial"/>
          <w:color w:val="000000"/>
        </w:rPr>
        <w:t xml:space="preserve">лифтами и подъемными </w:t>
      </w:r>
      <w:r w:rsidRPr="00EF58B3">
        <w:rPr>
          <w:rFonts w:ascii="Arial" w:hAnsi="Arial" w:cs="Arial"/>
          <w:color w:val="000000"/>
          <w:lang w:val="ru-RU"/>
        </w:rPr>
        <w:t>платформами</w:t>
      </w:r>
    </w:p>
    <w:p w:rsidR="00707A92" w:rsidRPr="00EF58B3" w:rsidRDefault="00A47035" w:rsidP="00EF58B3">
      <w:pPr>
        <w:pStyle w:val="Standard"/>
        <w:ind w:left="-36" w:firstLine="36"/>
        <w:jc w:val="both"/>
        <w:rPr>
          <w:rFonts w:ascii="Arial" w:hAnsi="Arial" w:cs="Arial"/>
        </w:rPr>
      </w:pPr>
      <w:r w:rsidRPr="00EF58B3">
        <w:rPr>
          <w:rFonts w:ascii="Arial" w:hAnsi="Arial" w:cs="Arial"/>
          <w:color w:val="000000"/>
          <w:lang w:val="ru-RU"/>
        </w:rPr>
        <w:t>местами</w:t>
      </w:r>
      <w:r w:rsidRPr="00EF58B3">
        <w:rPr>
          <w:rFonts w:ascii="Arial" w:hAnsi="Arial" w:cs="Arial"/>
          <w:color w:val="000000"/>
        </w:rPr>
        <w:t xml:space="preserve"> для хранения кресел-колясок;</w:t>
      </w:r>
    </w:p>
    <w:p w:rsidR="00707A92" w:rsidRPr="00EF58B3" w:rsidRDefault="00A47035" w:rsidP="00EF58B3">
      <w:pPr>
        <w:pStyle w:val="Standard"/>
        <w:ind w:left="-36" w:firstLine="36"/>
        <w:jc w:val="both"/>
        <w:rPr>
          <w:rFonts w:ascii="Arial" w:hAnsi="Arial" w:cs="Arial"/>
        </w:rPr>
      </w:pPr>
      <w:r w:rsidRPr="00EF58B3">
        <w:rPr>
          <w:rFonts w:ascii="Arial" w:hAnsi="Arial" w:cs="Arial"/>
          <w:color w:val="000000"/>
        </w:rPr>
        <w:t>санитарно-гигиеническими помещениями;</w:t>
      </w:r>
    </w:p>
    <w:p w:rsidR="00707A92" w:rsidRPr="00EF58B3" w:rsidRDefault="00A47035" w:rsidP="00EF58B3">
      <w:pPr>
        <w:pStyle w:val="Standard"/>
        <w:ind w:left="-36" w:firstLine="36"/>
        <w:jc w:val="both"/>
        <w:rPr>
          <w:rFonts w:ascii="Arial" w:hAnsi="Arial" w:cs="Arial"/>
        </w:rPr>
      </w:pPr>
      <w:r w:rsidRPr="00EF58B3">
        <w:rPr>
          <w:rFonts w:ascii="Arial" w:hAnsi="Arial" w:cs="Arial"/>
          <w:color w:val="000000"/>
        </w:rPr>
        <w:t>специальными указателями переходов улиц;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36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звуковой сигнализацией;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36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местами парковок транспортных средств.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Общие требования к зданиям, сооружениям и земельным участкам: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В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МГН, на все время эксплуатации.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Транспортные проезды на участке и пешеходные дороги на пути к объектам, посещаемым инвалидами, допускается совмещать при соблюдении градостроительных требований к параметрам путей движения;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Высота бортового камня в местах пересечения тротуаров с проезжей частью, а также перепад высот бордюров, бортовых камней вдоль эксплуатируемых газонов и озелененных площадок, примыкающих к путям пешеходного движения, не должны превышать 0,04 м;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При наличии на территории или участке подземных и надземных переходов их следует оборудовать пандусами или подъемными устройствами, если нельзя организовать для МГН наземный проход;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Для покрытий пешеходных дорожек, тротуаров и пандусов не допускается применение насыпных или крупноструктурных материалов, препятствующих передвижению МГН на креслах-колясках или с костылями. Покрытие из бетонных плит должно быть ровным, а толщина швов между плитами - не более 0,015 м;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На путях движения МГН не допускается применять непрозрачные калитки на навесных петлях двустороннего действия, калитки с вращающимися полотнами, а также турникеты;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Лестницы должны дублироваться пандусами, а при необходимости - другими средствами подъема;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 xml:space="preserve">Таксофоны и другое специализированное оборудование для людей с недостатками зрения должны устанавливаться на горизонтальной плоскости с </w:t>
      </w:r>
      <w:r w:rsidRPr="00EF58B3">
        <w:rPr>
          <w:rFonts w:ascii="Arial" w:hAnsi="Arial" w:cs="Arial"/>
        </w:rPr>
        <w:lastRenderedPageBreak/>
        <w:t>применением рифленого покрытия или на отдельных плитах высотой до 0,04 м, край которых должен находиться от установленного оборудования на расстоянии 0,7 - 0,8 м.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Вход на территорию или участок следует оборудовать доступными для инвалидов элементами информации об объекте;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На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принятыми в международной практике;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Ширина зоны для парковки авт</w:t>
      </w:r>
      <w:r w:rsidR="00656160" w:rsidRPr="00EF58B3">
        <w:rPr>
          <w:rFonts w:ascii="Arial" w:hAnsi="Arial" w:cs="Arial"/>
        </w:rPr>
        <w:t xml:space="preserve">омобиля инвалидов должна </w:t>
      </w:r>
      <w:r w:rsidRPr="00EF58B3">
        <w:rPr>
          <w:rFonts w:ascii="Arial" w:hAnsi="Arial" w:cs="Arial"/>
        </w:rPr>
        <w:t>быть от 3,5 м до 4.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Требования к входам и путям движения: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В здании должен быть как минимум один вход, приспособленный для МГН, с поверхности земли и из каждого доступного для МГН подземного или надземного перехода, соединенного с этим зданием;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Наружные лестницы и пандусы должны иметь поручни с учетом технических требований к опорным стационарным устройствам по ГОСТ Р 51261;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При ширине лестниц на основных подходах к зданию 2,5 м и более следует дополнительно предусматривать разделительные поручни;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Входная площадка при входах, доступных МГН, должна иметь навес, водоотвод, а в зависимости от местных климатических условий – подогрев,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что устанавливается заданием на проектирование;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Поверхности покрытий входных площадок и тамбуров должны быть твердыми, не допускать скольжения при намокании и иметь поперечный уклон в пределах 1 - 2%;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Дренажные и водосборные решетки, устанавливаемые в полу тамбуров или входных площадок, должны устанавливаться заподлицо с поверхностью покрытия пола. Ширина просветов их ячеек не должна превышать 0,015 м. Предпочтительно применение решеток с ромбовидными или квадратными ячейками;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При наличии контроля на входе следует предусматривать контрольные устройства, приспособленные для пропуска тех категорий инвалидов, для которых будет доступен проектируемый объект;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Помещения, где могут находиться инвалиды на креслах-колясках, следует, как правило, размещать на уровне входа, ближайшего к поверхности земли. При ином размещении помещений по высоте здания, кроме лестниц, следует предусматривать пандусы, подъемные платформы, лифты или другие приспособления для перемещения инвалидов;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Пути движения МГН внутри здания следует проектировать в соответствии с нормативными требованиями к путям эвакуации людей из здания;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Дверные проемы, как правило, не должны иметь порогов и перепадов высот пола. При необходимости устройства порогов их высота или перепад высот не должен превышать 0,025 м;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Прозрачные двери и ограждения следует выполнять из ударопрочного материала.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На путях движения МГН не допускается применять вращающиеся двери и турникеты;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 xml:space="preserve">На путях движения МГН следует применять двери на петлях одностороннего действия с фиксаторами в положениях «открыто» и «закрыто». </w:t>
      </w:r>
      <w:r w:rsidRPr="00EF58B3">
        <w:rPr>
          <w:rFonts w:ascii="Arial" w:hAnsi="Arial" w:cs="Arial"/>
          <w:color w:val="000000"/>
        </w:rPr>
        <w:lastRenderedPageBreak/>
        <w:t>Следует также применять двери, обеспечивающие задержку автоматического закрывания дверей продолжительностью не менее 5 сек.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Особые требования к среде жизнедеятельности МГН: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Жилые дома и жилые помещения общественных зданий следует проектировать, обеспечивая потребности инвалидов, включая: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доступность квартиры или жилого помещения от входа в здание;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доступность всех общественных помещений здания из квартиры или жилого помещения;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применение оборудования, отвечающего потребностям инвалидов;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обеспечение безопасности и удобства пользования оборудованием и приборами;</w:t>
      </w:r>
    </w:p>
    <w:p w:rsidR="00707A92" w:rsidRPr="00EF58B3" w:rsidRDefault="00A47035" w:rsidP="00EF58B3">
      <w:pPr>
        <w:pStyle w:val="Standard"/>
        <w:tabs>
          <w:tab w:val="left" w:pos="1134"/>
        </w:tabs>
        <w:suppressAutoHyphens w:val="0"/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оборудование придомовой территории и собственно здания необходимыми информационными системами;</w:t>
      </w:r>
    </w:p>
    <w:p w:rsidR="00707A92" w:rsidRPr="00EF58B3" w:rsidRDefault="00A47035" w:rsidP="00EF58B3">
      <w:pPr>
        <w:pStyle w:val="Standard"/>
        <w:tabs>
          <w:tab w:val="left" w:pos="1843"/>
        </w:tabs>
        <w:ind w:firstLine="851"/>
        <w:jc w:val="both"/>
        <w:rPr>
          <w:rFonts w:ascii="Arial" w:hAnsi="Arial" w:cs="Arial"/>
          <w:color w:val="000000"/>
        </w:rPr>
      </w:pPr>
      <w:r w:rsidRPr="00EF58B3">
        <w:rPr>
          <w:rFonts w:ascii="Arial" w:hAnsi="Arial" w:cs="Arial"/>
          <w:color w:val="000000"/>
        </w:rPr>
        <w:t>В случае когда действующие объекты невозможно приспособить для нужд инвалидов, собственниками этих объектов должны осуществляться по согласованию с общественными объединениями инвалидов меры, обеспечивающие удовлетворение минимальных потребностей инвалидов;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val="ru-RU" w:eastAsia="ru-RU" w:bidi="ar-SA"/>
        </w:rPr>
        <w:t>1.6. Раздел 5 «Внешнее благоустройство  зданий, ремонт и содержание жилых культурно-бытовых, общественных зданий и сооружений» дополнить пунктом 5.10. следующего содержания.</w:t>
      </w:r>
    </w:p>
    <w:p w:rsidR="00707A92" w:rsidRPr="00EF58B3" w:rsidRDefault="00A47035" w:rsidP="00EF58B3">
      <w:pPr>
        <w:pStyle w:val="Standard"/>
        <w:ind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val="ru-RU" w:eastAsia="ru-RU" w:bidi="ar-SA"/>
        </w:rPr>
        <w:t>5.10. «Праздничное (событийное) оформление территории городского поселения выполняется на время государственных, общегородских праздников и нерабочих праздничных дней.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Праздничное (событийное) оформление осуществляется администрацией городского поселения и иными лицами на принадлежащих им объектах.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Праздничное (событийное) оформление в зависимости от мероприятий включает размещение элементов праздничного оформления: флагов, лозунгов, гирлянд, панно, установку декоративных элементов и композиций, искусственных и живых елей, стендов, трибун, эстрад, афиш, а также праздничной иллюминации: световых гирлянд, сеток, контурных обтяжек, светографических элементов, световых панно и объемных композиций из ламп накаливания, разрядных, светодиодов, световодов, световых проекций, лазерных рисунков.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Размещение и демонтаж элементов праздничного оформления осуществляется в соответствии с концепцией праздничного оформления территории муниципального образования.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Не допускается размещение элементов праздничного оформления: с уменьшением ширины пешеходных коммуникаций;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содержащих рекламные изображения;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с использованием звукового сопровождения с эквивалентным уровнем звука свыше 55 дБА в период времени с 7.00 часов до 23.00 часов и свыше 45 дБА с 23.00 часов до 7.00 часов.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Элементы праздничного оформления могут размещаться на земельных участках, фасадах зданий, строений, сооружений, в витринах, на входных группах или в виде отдельно стоящих конструкций и композиций.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Не допускается размещение отдельно стоящих конструкций и композиций праздничного оформления:</w:t>
      </w:r>
    </w:p>
    <w:p w:rsidR="00707A92" w:rsidRPr="00EF58B3" w:rsidRDefault="00A47035" w:rsidP="00EF58B3">
      <w:pPr>
        <w:pStyle w:val="Standard"/>
        <w:suppressAutoHyphens w:val="0"/>
        <w:ind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в случаях, когда отсутствует техническая возможность заглублени</w:t>
      </w:r>
      <w:r w:rsidR="00367297" w:rsidRPr="00EF58B3">
        <w:rPr>
          <w:rFonts w:ascii="Arial" w:eastAsia="Calibri" w:hAnsi="Arial" w:cs="Arial"/>
          <w:lang w:val="ru-RU" w:eastAsia="en-US" w:bidi="ar-SA"/>
        </w:rPr>
        <w:t xml:space="preserve">я </w:t>
      </w:r>
      <w:r w:rsidRPr="00EF58B3">
        <w:rPr>
          <w:rFonts w:ascii="Arial" w:eastAsia="Calibri" w:hAnsi="Arial" w:cs="Arial"/>
          <w:lang w:eastAsia="en-US" w:bidi="ar-SA"/>
        </w:rPr>
        <w:t>фундамента без его декоративного оформления;</w:t>
      </w:r>
    </w:p>
    <w:p w:rsidR="00707A92" w:rsidRPr="00EF58B3" w:rsidRDefault="00A47035" w:rsidP="00EF58B3">
      <w:pPr>
        <w:pStyle w:val="Standard"/>
        <w:suppressAutoHyphens w:val="0"/>
        <w:ind w:left="-12"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 xml:space="preserve">на проездах, местах, предназначенных для парковки и стоянки </w:t>
      </w:r>
      <w:r w:rsidRPr="00EF58B3">
        <w:rPr>
          <w:rFonts w:ascii="Arial" w:eastAsia="Calibri" w:hAnsi="Arial" w:cs="Arial"/>
          <w:lang w:eastAsia="en-US" w:bidi="ar-SA"/>
        </w:rPr>
        <w:lastRenderedPageBreak/>
        <w:t>автомобилей;</w:t>
      </w:r>
    </w:p>
    <w:p w:rsidR="00707A92" w:rsidRPr="00EF58B3" w:rsidRDefault="00A47035" w:rsidP="00EF58B3">
      <w:pPr>
        <w:pStyle w:val="Standard"/>
        <w:suppressAutoHyphens w:val="0"/>
        <w:ind w:left="-24" w:firstLine="851"/>
        <w:jc w:val="both"/>
        <w:rPr>
          <w:rFonts w:ascii="Arial" w:eastAsia="Calibri" w:hAnsi="Arial" w:cs="Arial"/>
          <w:lang w:eastAsia="en-US" w:bidi="ar-SA"/>
        </w:rPr>
      </w:pPr>
      <w:r w:rsidRPr="00EF58B3">
        <w:rPr>
          <w:rFonts w:ascii="Arial" w:eastAsia="Calibri" w:hAnsi="Arial" w:cs="Arial"/>
          <w:lang w:eastAsia="en-US" w:bidi="ar-SA"/>
        </w:rPr>
        <w:t>без получения согласия правообладателя земельного участка;</w:t>
      </w:r>
    </w:p>
    <w:p w:rsidR="00707A92" w:rsidRPr="00EF58B3" w:rsidRDefault="00A47035" w:rsidP="00EF58B3">
      <w:pPr>
        <w:pStyle w:val="Standard"/>
        <w:suppressAutoHyphens w:val="0"/>
        <w:ind w:left="-36"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eastAsia="en-US" w:bidi="ar-SA"/>
        </w:rPr>
        <w:t xml:space="preserve">имеющих заглубленный фундамент в </w:t>
      </w:r>
      <w:r w:rsidR="00367297" w:rsidRPr="00EF58B3">
        <w:rPr>
          <w:rFonts w:ascii="Arial" w:eastAsia="Calibri" w:hAnsi="Arial" w:cs="Arial"/>
          <w:lang w:eastAsia="en-US" w:bidi="ar-SA"/>
        </w:rPr>
        <w:t xml:space="preserve">местах ближе 5,0 м от стволов </w:t>
      </w:r>
      <w:r w:rsidRPr="00EF58B3">
        <w:rPr>
          <w:rFonts w:ascii="Arial" w:eastAsia="Calibri" w:hAnsi="Arial" w:cs="Arial"/>
          <w:lang w:eastAsia="en-US" w:bidi="ar-SA"/>
        </w:rPr>
        <w:t>деревьев.</w:t>
      </w:r>
    </w:p>
    <w:p w:rsidR="00707A92" w:rsidRPr="00EF58B3" w:rsidRDefault="00A47035" w:rsidP="00EF58B3">
      <w:pPr>
        <w:pStyle w:val="Standard"/>
        <w:suppressAutoHyphens w:val="0"/>
        <w:ind w:left="-12" w:firstLine="851"/>
        <w:jc w:val="both"/>
        <w:rPr>
          <w:rFonts w:ascii="Arial" w:hAnsi="Arial" w:cs="Arial"/>
        </w:rPr>
      </w:pPr>
      <w:r w:rsidRPr="00EF58B3">
        <w:rPr>
          <w:rFonts w:ascii="Arial" w:eastAsia="Calibri" w:hAnsi="Arial" w:cs="Arial"/>
          <w:lang w:val="ru-RU" w:eastAsia="en-US" w:bidi="ar-SA"/>
        </w:rPr>
        <w:t>Не допускается размещение элементов праздничного оформления на эл</w:t>
      </w:r>
      <w:r w:rsidRPr="00EF58B3">
        <w:rPr>
          <w:rFonts w:ascii="Arial" w:eastAsia="Calibri" w:hAnsi="Arial" w:cs="Arial"/>
          <w:lang w:val="ru-RU" w:eastAsia="en-US" w:bidi="ar-SA"/>
        </w:rPr>
        <w:t>е</w:t>
      </w:r>
      <w:r w:rsidRPr="00EF58B3">
        <w:rPr>
          <w:rFonts w:ascii="Arial" w:eastAsia="Calibri" w:hAnsi="Arial" w:cs="Arial"/>
          <w:lang w:val="ru-RU" w:eastAsia="en-US" w:bidi="ar-SA"/>
        </w:rPr>
        <w:t>ментах декора фасадов зданий, сооружений, а также с креплением, ведущим к п</w:t>
      </w:r>
      <w:r w:rsidRPr="00EF58B3">
        <w:rPr>
          <w:rFonts w:ascii="Arial" w:eastAsia="Calibri" w:hAnsi="Arial" w:cs="Arial"/>
          <w:lang w:val="ru-RU" w:eastAsia="en-US" w:bidi="ar-SA"/>
        </w:rPr>
        <w:t>о</w:t>
      </w:r>
      <w:r w:rsidRPr="00EF58B3">
        <w:rPr>
          <w:rFonts w:ascii="Arial" w:eastAsia="Calibri" w:hAnsi="Arial" w:cs="Arial"/>
          <w:lang w:val="ru-RU" w:eastAsia="en-US" w:bidi="ar-SA"/>
        </w:rPr>
        <w:t>вреждению поверхностей фасадов</w:t>
      </w:r>
      <w:proofErr w:type="gramStart"/>
      <w:r w:rsidRPr="00EF58B3">
        <w:rPr>
          <w:rFonts w:ascii="Arial" w:eastAsia="Calibri" w:hAnsi="Arial" w:cs="Arial"/>
          <w:lang w:val="ru-RU" w:eastAsia="en-US" w:bidi="ar-SA"/>
        </w:rPr>
        <w:t>.»</w:t>
      </w:r>
      <w:proofErr w:type="gramEnd"/>
    </w:p>
    <w:p w:rsidR="00707A92" w:rsidRPr="00EF58B3" w:rsidRDefault="00656160" w:rsidP="00EF58B3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 xml:space="preserve">2. </w:t>
      </w:r>
      <w:r w:rsidRPr="00EF58B3">
        <w:rPr>
          <w:rFonts w:ascii="Arial" w:eastAsia="Times New Roman" w:hAnsi="Arial" w:cs="Arial"/>
          <w:kern w:val="0"/>
          <w:lang w:eastAsia="ru-RU" w:bidi="ar-SA"/>
        </w:rPr>
        <w:t xml:space="preserve">Эксперту администрации </w:t>
      </w:r>
      <w:r w:rsidRPr="00EF58B3">
        <w:rPr>
          <w:rFonts w:ascii="Arial" w:eastAsia="Calibri" w:hAnsi="Arial" w:cs="Arial"/>
          <w:kern w:val="0"/>
          <w:lang w:eastAsia="ru-RU" w:bidi="ar-SA"/>
        </w:rPr>
        <w:t>Алексее-Тенгинского</w:t>
      </w:r>
      <w:r w:rsidRPr="00EF58B3">
        <w:rPr>
          <w:rFonts w:ascii="Arial" w:eastAsia="Times New Roman" w:hAnsi="Arial" w:cs="Arial"/>
          <w:kern w:val="0"/>
          <w:lang w:eastAsia="ru-RU" w:bidi="ar-SA"/>
        </w:rPr>
        <w:t xml:space="preserve">сельского поселения Тбилисского района (Беловой) опубликовать настоящее постановление в сетевом издании «Информационный портал Тбилисского района», а также на официальном сайте администрации </w:t>
      </w:r>
      <w:r w:rsidRPr="00EF58B3">
        <w:rPr>
          <w:rFonts w:ascii="Arial" w:eastAsia="Calibri" w:hAnsi="Arial" w:cs="Arial"/>
          <w:kern w:val="0"/>
          <w:lang w:eastAsia="ru-RU" w:bidi="ar-SA"/>
        </w:rPr>
        <w:t>Алексее-Тенгинского</w:t>
      </w:r>
      <w:r w:rsidRPr="00EF58B3">
        <w:rPr>
          <w:rFonts w:ascii="Arial" w:eastAsia="Times New Roman" w:hAnsi="Arial" w:cs="Arial"/>
          <w:kern w:val="0"/>
          <w:lang w:eastAsia="ru-RU" w:bidi="ar-SA"/>
        </w:rPr>
        <w:t>сельского поселения Тбилисского района в информационно-телекоммуникационной сети «ИНТЕРНЕТ».</w:t>
      </w:r>
    </w:p>
    <w:p w:rsidR="00707A92" w:rsidRPr="00EF58B3" w:rsidRDefault="00A47035" w:rsidP="00EF58B3">
      <w:pPr>
        <w:pStyle w:val="Standard"/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EF58B3">
        <w:rPr>
          <w:rFonts w:ascii="Arial" w:hAnsi="Arial" w:cs="Arial"/>
        </w:rPr>
        <w:t>3. Настоящее решение вступает в силу со дня его обнародования.</w:t>
      </w:r>
    </w:p>
    <w:p w:rsidR="00707A92" w:rsidRPr="00EF58B3" w:rsidRDefault="00707A92" w:rsidP="00EF58B3">
      <w:pPr>
        <w:pStyle w:val="Standard"/>
        <w:tabs>
          <w:tab w:val="left" w:pos="5103"/>
        </w:tabs>
        <w:ind w:firstLine="851"/>
        <w:rPr>
          <w:rFonts w:ascii="Arial" w:hAnsi="Arial" w:cs="Arial"/>
        </w:rPr>
      </w:pPr>
    </w:p>
    <w:p w:rsidR="00707A92" w:rsidRPr="00EF58B3" w:rsidRDefault="00707A92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</w:p>
    <w:p w:rsidR="00656160" w:rsidRPr="00EF58B3" w:rsidRDefault="00656160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</w:p>
    <w:p w:rsidR="00EF58B3" w:rsidRDefault="00A47035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  <w:r w:rsidRPr="00EF58B3">
        <w:rPr>
          <w:rFonts w:ascii="Arial" w:hAnsi="Arial" w:cs="Arial"/>
          <w:lang w:val="ru-RU"/>
        </w:rPr>
        <w:t xml:space="preserve">Глава </w:t>
      </w:r>
    </w:p>
    <w:p w:rsidR="00EF58B3" w:rsidRDefault="00656160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  <w:r w:rsidRPr="00EF58B3">
        <w:rPr>
          <w:rFonts w:ascii="Arial" w:hAnsi="Arial" w:cs="Arial"/>
          <w:lang w:val="ru-RU"/>
        </w:rPr>
        <w:t>Алексее-Тенгинского</w:t>
      </w:r>
      <w:r w:rsidR="00A47035" w:rsidRPr="00EF58B3">
        <w:rPr>
          <w:rFonts w:ascii="Arial" w:hAnsi="Arial" w:cs="Arial"/>
          <w:lang w:val="ru-RU"/>
        </w:rPr>
        <w:t xml:space="preserve"> сельского </w:t>
      </w:r>
      <w:r w:rsidRPr="00EF58B3">
        <w:rPr>
          <w:rFonts w:ascii="Arial" w:hAnsi="Arial" w:cs="Arial"/>
          <w:lang w:val="ru-RU"/>
        </w:rPr>
        <w:t>п</w:t>
      </w:r>
      <w:r w:rsidR="00A47035" w:rsidRPr="00EF58B3">
        <w:rPr>
          <w:rFonts w:ascii="Arial" w:hAnsi="Arial" w:cs="Arial"/>
          <w:lang w:val="ru-RU"/>
        </w:rPr>
        <w:t>оселения</w:t>
      </w:r>
      <w:r w:rsidRPr="00EF58B3">
        <w:rPr>
          <w:rFonts w:ascii="Arial" w:hAnsi="Arial" w:cs="Arial"/>
          <w:lang w:val="ru-RU"/>
        </w:rPr>
        <w:t xml:space="preserve"> </w:t>
      </w:r>
    </w:p>
    <w:p w:rsidR="00EF58B3" w:rsidRDefault="00A47035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  <w:r w:rsidRPr="00EF58B3">
        <w:rPr>
          <w:rFonts w:ascii="Arial" w:hAnsi="Arial" w:cs="Arial"/>
          <w:lang w:val="ru-RU"/>
        </w:rPr>
        <w:t>Тбилисс</w:t>
      </w:r>
      <w:r w:rsidR="00EF58B3">
        <w:rPr>
          <w:rFonts w:ascii="Arial" w:hAnsi="Arial" w:cs="Arial"/>
          <w:lang w:val="ru-RU"/>
        </w:rPr>
        <w:t>кого района</w:t>
      </w:r>
    </w:p>
    <w:p w:rsidR="00707A92" w:rsidRPr="00EF58B3" w:rsidRDefault="00656160" w:rsidP="00EF58B3">
      <w:pPr>
        <w:pStyle w:val="Standard"/>
        <w:ind w:firstLine="851"/>
        <w:jc w:val="both"/>
        <w:rPr>
          <w:rFonts w:ascii="Arial" w:hAnsi="Arial" w:cs="Arial"/>
          <w:lang w:val="ru-RU"/>
        </w:rPr>
      </w:pPr>
      <w:r w:rsidRPr="00EF58B3">
        <w:rPr>
          <w:rFonts w:ascii="Arial" w:hAnsi="Arial" w:cs="Arial"/>
          <w:lang w:val="ru-RU"/>
        </w:rPr>
        <w:t>О.А. Жук</w:t>
      </w:r>
    </w:p>
    <w:sectPr w:rsidR="00707A92" w:rsidRPr="00EF58B3" w:rsidSect="004A0E20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D7" w:rsidRDefault="007A1BD7">
      <w:r>
        <w:separator/>
      </w:r>
    </w:p>
  </w:endnote>
  <w:endnote w:type="continuationSeparator" w:id="0">
    <w:p w:rsidR="007A1BD7" w:rsidRDefault="007A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D7" w:rsidRDefault="007A1BD7">
      <w:r>
        <w:rPr>
          <w:color w:val="000000"/>
        </w:rPr>
        <w:separator/>
      </w:r>
    </w:p>
  </w:footnote>
  <w:footnote w:type="continuationSeparator" w:id="0">
    <w:p w:rsidR="007A1BD7" w:rsidRDefault="007A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B69"/>
    <w:multiLevelType w:val="multilevel"/>
    <w:tmpl w:val="B948796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8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65D5748"/>
    <w:multiLevelType w:val="multilevel"/>
    <w:tmpl w:val="734A43A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4827FB4"/>
    <w:multiLevelType w:val="multilevel"/>
    <w:tmpl w:val="E2E64D48"/>
    <w:styleLink w:val="WW8Num1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78E6324"/>
    <w:multiLevelType w:val="multilevel"/>
    <w:tmpl w:val="45B21958"/>
    <w:styleLink w:val="WW8Num1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C4B3052"/>
    <w:multiLevelType w:val="multilevel"/>
    <w:tmpl w:val="E360902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64695489"/>
    <w:multiLevelType w:val="multilevel"/>
    <w:tmpl w:val="A07A14A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7A92"/>
    <w:rsid w:val="002F3B2F"/>
    <w:rsid w:val="00367297"/>
    <w:rsid w:val="00432B0F"/>
    <w:rsid w:val="00492B61"/>
    <w:rsid w:val="004A0E20"/>
    <w:rsid w:val="00656160"/>
    <w:rsid w:val="006F0823"/>
    <w:rsid w:val="00707A92"/>
    <w:rsid w:val="007A1BD7"/>
    <w:rsid w:val="007B0F63"/>
    <w:rsid w:val="009040D0"/>
    <w:rsid w:val="00A47035"/>
    <w:rsid w:val="00BE343A"/>
    <w:rsid w:val="00D55F47"/>
    <w:rsid w:val="00EF58B3"/>
    <w:rsid w:val="00F8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0F63"/>
    <w:rPr>
      <w:rFonts w:eastAsia="Andale Sans UI" w:cs="Tahoma"/>
      <w:lang w:val="de-DE" w:eastAsia="ja-JP" w:bidi="fa-IR"/>
    </w:rPr>
  </w:style>
  <w:style w:type="paragraph" w:styleId="a3">
    <w:name w:val="Title"/>
    <w:basedOn w:val="Standard"/>
    <w:next w:val="Textbody"/>
    <w:rsid w:val="007B0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B0F63"/>
    <w:pPr>
      <w:spacing w:after="120"/>
    </w:pPr>
  </w:style>
  <w:style w:type="paragraph" w:styleId="a4">
    <w:name w:val="Subtitle"/>
    <w:basedOn w:val="a3"/>
    <w:next w:val="Textbody"/>
    <w:link w:val="a5"/>
    <w:qFormat/>
    <w:rsid w:val="007B0F63"/>
    <w:pPr>
      <w:jc w:val="center"/>
    </w:pPr>
    <w:rPr>
      <w:i/>
      <w:iCs/>
    </w:rPr>
  </w:style>
  <w:style w:type="paragraph" w:styleId="a6">
    <w:name w:val="List"/>
    <w:basedOn w:val="Textbody"/>
    <w:rsid w:val="007B0F63"/>
    <w:rPr>
      <w:rFonts w:cs="Mangal"/>
    </w:rPr>
  </w:style>
  <w:style w:type="paragraph" w:styleId="a7">
    <w:name w:val="caption"/>
    <w:basedOn w:val="Standard"/>
    <w:rsid w:val="007B0F6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B0F63"/>
    <w:pPr>
      <w:suppressLineNumbers/>
    </w:pPr>
    <w:rPr>
      <w:rFonts w:cs="Mangal"/>
    </w:rPr>
  </w:style>
  <w:style w:type="paragraph" w:customStyle="1" w:styleId="ConsPlusNormal">
    <w:name w:val="ConsPlusNormal"/>
    <w:rsid w:val="007B0F63"/>
    <w:rPr>
      <w:rFonts w:eastAsia="Times New Roman"/>
      <w:lang w:eastAsia="ru-RU"/>
    </w:rPr>
  </w:style>
  <w:style w:type="paragraph" w:styleId="a8">
    <w:name w:val="Balloon Text"/>
    <w:basedOn w:val="Standard"/>
    <w:rsid w:val="007B0F63"/>
    <w:rPr>
      <w:rFonts w:ascii="Tahoma" w:hAnsi="Tahoma"/>
      <w:sz w:val="16"/>
      <w:szCs w:val="14"/>
    </w:rPr>
  </w:style>
  <w:style w:type="paragraph" w:customStyle="1" w:styleId="TableContents">
    <w:name w:val="Table Contents"/>
    <w:basedOn w:val="Standard"/>
    <w:rsid w:val="007B0F63"/>
    <w:pPr>
      <w:suppressLineNumbers/>
    </w:pPr>
  </w:style>
  <w:style w:type="character" w:customStyle="1" w:styleId="a9">
    <w:name w:val="Текст выноски Знак"/>
    <w:basedOn w:val="a0"/>
    <w:rsid w:val="007B0F63"/>
    <w:rPr>
      <w:rFonts w:ascii="Tahoma" w:eastAsia="SimSun" w:hAnsi="Tahoma" w:cs="Mangal"/>
      <w:kern w:val="3"/>
      <w:sz w:val="16"/>
      <w:szCs w:val="14"/>
      <w:lang w:eastAsia="hi-IN" w:bidi="hi-IN"/>
    </w:rPr>
  </w:style>
  <w:style w:type="character" w:customStyle="1" w:styleId="Internetlink">
    <w:name w:val="Internet link"/>
    <w:rsid w:val="007B0F63"/>
    <w:rPr>
      <w:color w:val="000080"/>
      <w:u w:val="single"/>
    </w:rPr>
  </w:style>
  <w:style w:type="character" w:customStyle="1" w:styleId="BulletSymbols">
    <w:name w:val="Bullet Symbols"/>
    <w:rsid w:val="007B0F6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7B0F63"/>
  </w:style>
  <w:style w:type="character" w:customStyle="1" w:styleId="WW8Num10z0">
    <w:name w:val="WW8Num10z0"/>
    <w:rsid w:val="007B0F63"/>
  </w:style>
  <w:style w:type="character" w:customStyle="1" w:styleId="WW8Num10z1">
    <w:name w:val="WW8Num10z1"/>
    <w:rsid w:val="007B0F63"/>
  </w:style>
  <w:style w:type="character" w:customStyle="1" w:styleId="WW8Num10z2">
    <w:name w:val="WW8Num10z2"/>
    <w:rsid w:val="007B0F63"/>
  </w:style>
  <w:style w:type="character" w:customStyle="1" w:styleId="WW8Num15z0">
    <w:name w:val="WW8Num15z0"/>
    <w:rsid w:val="007B0F63"/>
    <w:rPr>
      <w:rFonts w:ascii="Symbol" w:hAnsi="Symbol"/>
    </w:rPr>
  </w:style>
  <w:style w:type="character" w:customStyle="1" w:styleId="WW8Num15z1">
    <w:name w:val="WW8Num15z1"/>
    <w:rsid w:val="007B0F63"/>
    <w:rPr>
      <w:rFonts w:ascii="Courier New" w:hAnsi="Courier New"/>
    </w:rPr>
  </w:style>
  <w:style w:type="character" w:customStyle="1" w:styleId="WW8Num15z2">
    <w:name w:val="WW8Num15z2"/>
    <w:rsid w:val="007B0F63"/>
    <w:rPr>
      <w:rFonts w:ascii="Wingdings" w:hAnsi="Wingdings"/>
    </w:rPr>
  </w:style>
  <w:style w:type="numbering" w:customStyle="1" w:styleId="WWNum1">
    <w:name w:val="WWNum1"/>
    <w:basedOn w:val="a2"/>
    <w:rsid w:val="007B0F63"/>
    <w:pPr>
      <w:numPr>
        <w:numId w:val="1"/>
      </w:numPr>
    </w:pPr>
  </w:style>
  <w:style w:type="numbering" w:customStyle="1" w:styleId="WWNum2">
    <w:name w:val="WWNum2"/>
    <w:basedOn w:val="a2"/>
    <w:rsid w:val="007B0F63"/>
    <w:pPr>
      <w:numPr>
        <w:numId w:val="2"/>
      </w:numPr>
    </w:pPr>
  </w:style>
  <w:style w:type="numbering" w:customStyle="1" w:styleId="WW8Num10">
    <w:name w:val="WW8Num10"/>
    <w:basedOn w:val="a2"/>
    <w:rsid w:val="007B0F63"/>
    <w:pPr>
      <w:numPr>
        <w:numId w:val="3"/>
      </w:numPr>
    </w:pPr>
  </w:style>
  <w:style w:type="numbering" w:customStyle="1" w:styleId="WW8Num15">
    <w:name w:val="WW8Num15"/>
    <w:basedOn w:val="a2"/>
    <w:rsid w:val="007B0F63"/>
    <w:pPr>
      <w:numPr>
        <w:numId w:val="4"/>
      </w:numPr>
    </w:pPr>
  </w:style>
  <w:style w:type="paragraph" w:customStyle="1" w:styleId="ConsPlusTitle">
    <w:name w:val="ConsPlusTitle"/>
    <w:basedOn w:val="a"/>
    <w:next w:val="a"/>
    <w:rsid w:val="00432B0F"/>
    <w:pPr>
      <w:autoSpaceDN/>
      <w:textAlignment w:val="auto"/>
    </w:pPr>
    <w:rPr>
      <w:rFonts w:ascii="Arial" w:eastAsia="Arial" w:hAnsi="Arial" w:cs="Arial"/>
      <w:b/>
      <w:bCs/>
      <w:kern w:val="2"/>
      <w:sz w:val="20"/>
      <w:szCs w:val="20"/>
      <w:lang w:eastAsia="en-US" w:bidi="ar-SA"/>
    </w:rPr>
  </w:style>
  <w:style w:type="character" w:customStyle="1" w:styleId="a5">
    <w:name w:val="Подзаголовок Знак"/>
    <w:basedOn w:val="a0"/>
    <w:link w:val="a4"/>
    <w:rsid w:val="00EF58B3"/>
    <w:rPr>
      <w:rFonts w:ascii="Arial" w:eastAsia="Microsoft YaHei" w:hAnsi="Arial"/>
      <w:i/>
      <w:iCs/>
      <w:sz w:val="28"/>
      <w:szCs w:val="28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ahoma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6">
    <w:name w:val="List"/>
    <w:basedOn w:val="Textbody"/>
    <w:rPr>
      <w:rFonts w:cs="Mangal"/>
    </w:rPr>
  </w:style>
  <w:style w:type="paragraph" w:styleId="a7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rPr>
      <w:rFonts w:eastAsia="Times New Roman"/>
      <w:lang w:eastAsia="ru-RU"/>
    </w:rPr>
  </w:style>
  <w:style w:type="paragraph" w:styleId="a8">
    <w:name w:val="Balloon Text"/>
    <w:basedOn w:val="Standard"/>
    <w:rPr>
      <w:rFonts w:ascii="Tahoma" w:hAnsi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Текст выноски Знак"/>
    <w:basedOn w:val="a0"/>
    <w:rPr>
      <w:rFonts w:ascii="Tahoma" w:eastAsia="SimSun" w:hAnsi="Tahoma" w:cs="Mangal"/>
      <w:kern w:val="3"/>
      <w:sz w:val="16"/>
      <w:szCs w:val="14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8Num10">
    <w:name w:val="WW8Num10"/>
    <w:basedOn w:val="a2"/>
    <w:pPr>
      <w:numPr>
        <w:numId w:val="3"/>
      </w:numPr>
    </w:pPr>
  </w:style>
  <w:style w:type="numbering" w:customStyle="1" w:styleId="WW8Num15">
    <w:name w:val="WW8Num15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22829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148421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9</cp:revision>
  <cp:lastPrinted>2022-05-31T10:50:00Z</cp:lastPrinted>
  <dcterms:created xsi:type="dcterms:W3CDTF">2022-05-26T08:26:00Z</dcterms:created>
  <dcterms:modified xsi:type="dcterms:W3CDTF">2022-06-06T05:46:00Z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